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95E" w:rsidRDefault="009B195E" w:rsidP="009B195E">
      <w:pPr>
        <w:jc w:val="center"/>
      </w:pPr>
      <w:r>
        <w:t xml:space="preserve">     </w:t>
      </w:r>
      <w:r>
        <w:rPr>
          <w:noProof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95E" w:rsidRDefault="009B195E" w:rsidP="009B195E">
      <w:pPr>
        <w:jc w:val="center"/>
        <w:rPr>
          <w:rFonts w:ascii="Arial" w:hAnsi="Arial"/>
          <w:b/>
          <w:sz w:val="40"/>
          <w:szCs w:val="40"/>
        </w:rPr>
      </w:pPr>
      <w:r>
        <w:rPr>
          <w:b/>
          <w:sz w:val="40"/>
          <w:szCs w:val="40"/>
        </w:rPr>
        <w:t>СОВЕТ ДЕПУТАТОВ</w:t>
      </w:r>
    </w:p>
    <w:p w:rsidR="009B195E" w:rsidRDefault="009B195E" w:rsidP="009B195E">
      <w:pPr>
        <w:jc w:val="center"/>
        <w:rPr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9B195E" w:rsidRDefault="009B195E" w:rsidP="009B195E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9B195E" w:rsidRDefault="009B195E" w:rsidP="009B195E">
      <w:pPr>
        <w:spacing w:line="220" w:lineRule="exact"/>
        <w:rPr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  </w:t>
      </w:r>
      <w:r>
        <w:rPr>
          <w:color w:val="000000"/>
          <w:sz w:val="18"/>
          <w:szCs w:val="18"/>
          <w:lang w:bidi="ru-RU"/>
        </w:rPr>
        <w:t xml:space="preserve">тел. 8-(49620) -6-35-61; т/ф 8-(49620) -3-33-29 </w:t>
      </w:r>
    </w:p>
    <w:p w:rsidR="009B195E" w:rsidRDefault="009B195E" w:rsidP="009B195E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color w:val="000000"/>
          <w:sz w:val="18"/>
          <w:szCs w:val="18"/>
          <w:shd w:val="clear" w:color="auto" w:fill="FFFFFF"/>
          <w:lang w:eastAsia="en-US" w:bidi="en-US"/>
        </w:rPr>
      </w:pPr>
      <w:r>
        <w:rPr>
          <w:rFonts w:eastAsia="Sylfaen"/>
          <w:color w:val="000000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9B195E" w:rsidRDefault="009B195E" w:rsidP="009B195E">
      <w:pPr>
        <w:jc w:val="right"/>
        <w:rPr>
          <w:rFonts w:ascii="Calibri" w:eastAsia="Calibri" w:hAnsi="Calibri"/>
          <w:szCs w:val="24"/>
          <w:lang w:eastAsia="en-US"/>
        </w:rPr>
      </w:pPr>
    </w:p>
    <w:p w:rsidR="009B195E" w:rsidRDefault="009B195E" w:rsidP="009B195E">
      <w:pPr>
        <w:jc w:val="center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Р Е Ш Е Н И Е</w:t>
      </w:r>
    </w:p>
    <w:p w:rsidR="009B195E" w:rsidRDefault="009B195E" w:rsidP="009B195E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9B195E" w:rsidRDefault="009B195E" w:rsidP="009B195E">
      <w:pPr>
        <w:ind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__</w:t>
      </w:r>
      <w:r>
        <w:rPr>
          <w:rFonts w:eastAsia="Calibri"/>
          <w:sz w:val="28"/>
          <w:szCs w:val="28"/>
          <w:u w:val="single"/>
          <w:lang w:eastAsia="en-US"/>
        </w:rPr>
        <w:t>31 января</w:t>
      </w:r>
      <w:r>
        <w:rPr>
          <w:rFonts w:eastAsia="Calibri"/>
          <w:sz w:val="28"/>
          <w:szCs w:val="28"/>
          <w:lang w:eastAsia="en-US"/>
        </w:rPr>
        <w:t>___</w:t>
      </w:r>
      <w:proofErr w:type="gramStart"/>
      <w:r>
        <w:rPr>
          <w:rFonts w:eastAsia="Calibri"/>
          <w:sz w:val="28"/>
          <w:szCs w:val="28"/>
          <w:lang w:eastAsia="en-US"/>
        </w:rPr>
        <w:t>_  2019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№  </w:t>
      </w:r>
      <w:r>
        <w:rPr>
          <w:rFonts w:eastAsia="Calibri"/>
          <w:sz w:val="28"/>
          <w:szCs w:val="28"/>
          <w:u w:val="single"/>
          <w:lang w:eastAsia="en-US"/>
        </w:rPr>
        <w:t>1</w:t>
      </w:r>
      <w:r>
        <w:rPr>
          <w:rFonts w:eastAsia="Calibri"/>
          <w:sz w:val="28"/>
          <w:szCs w:val="28"/>
          <w:u w:val="single"/>
          <w:lang w:eastAsia="en-US"/>
        </w:rPr>
        <w:t>41</w:t>
      </w:r>
    </w:p>
    <w:p w:rsidR="009B195E" w:rsidRDefault="009B195E" w:rsidP="009B195E">
      <w:pPr>
        <w:jc w:val="center"/>
        <w:rPr>
          <w:b/>
        </w:rPr>
      </w:pPr>
    </w:p>
    <w:p w:rsidR="009B195E" w:rsidRDefault="009B195E" w:rsidP="009B195E">
      <w:pPr>
        <w:rPr>
          <w:b/>
          <w:szCs w:val="24"/>
        </w:rPr>
      </w:pPr>
      <w:r>
        <w:rPr>
          <w:sz w:val="28"/>
          <w:szCs w:val="28"/>
        </w:rPr>
        <w:t xml:space="preserve">┌                                                      ┐ </w:t>
      </w:r>
      <w:r>
        <w:rPr>
          <w:b/>
          <w:color w:val="FFFFFF"/>
        </w:rPr>
        <w:t xml:space="preserve">   </w:t>
      </w:r>
    </w:p>
    <w:p w:rsidR="00CC7370" w:rsidRDefault="00CC7370" w:rsidP="009B195E">
      <w:pPr>
        <w:ind w:firstLine="142"/>
        <w:rPr>
          <w:b/>
          <w:sz w:val="22"/>
          <w:szCs w:val="22"/>
        </w:rPr>
      </w:pPr>
      <w:r w:rsidRPr="00067020">
        <w:rPr>
          <w:b/>
          <w:sz w:val="22"/>
          <w:szCs w:val="22"/>
        </w:rPr>
        <w:t>Об утверждении порядк</w:t>
      </w:r>
      <w:r>
        <w:rPr>
          <w:b/>
          <w:sz w:val="22"/>
          <w:szCs w:val="22"/>
        </w:rPr>
        <w:t>а</w:t>
      </w:r>
      <w:r w:rsidRPr="00067020">
        <w:rPr>
          <w:b/>
          <w:sz w:val="22"/>
          <w:szCs w:val="22"/>
        </w:rPr>
        <w:t xml:space="preserve"> обеспечения </w:t>
      </w:r>
    </w:p>
    <w:p w:rsidR="00CC7370" w:rsidRDefault="00CC7370" w:rsidP="009B195E">
      <w:pPr>
        <w:ind w:firstLine="142"/>
        <w:rPr>
          <w:b/>
          <w:sz w:val="22"/>
          <w:szCs w:val="22"/>
        </w:rPr>
      </w:pPr>
      <w:r w:rsidRPr="00067020">
        <w:rPr>
          <w:b/>
          <w:sz w:val="22"/>
          <w:szCs w:val="22"/>
        </w:rPr>
        <w:t>деятельности Контрольно-счётно</w:t>
      </w:r>
      <w:r>
        <w:rPr>
          <w:b/>
          <w:sz w:val="22"/>
          <w:szCs w:val="22"/>
        </w:rPr>
        <w:t>й</w:t>
      </w:r>
      <w:r w:rsidRPr="0006702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палаты</w:t>
      </w:r>
      <w:r w:rsidRPr="00067020">
        <w:rPr>
          <w:b/>
          <w:sz w:val="22"/>
          <w:szCs w:val="22"/>
        </w:rPr>
        <w:t xml:space="preserve"> Талдомского</w:t>
      </w:r>
    </w:p>
    <w:p w:rsidR="00CC7370" w:rsidRPr="00067020" w:rsidRDefault="00CC7370" w:rsidP="009B195E">
      <w:pPr>
        <w:ind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городского округа </w:t>
      </w:r>
      <w:r w:rsidRPr="00067020">
        <w:rPr>
          <w:b/>
          <w:sz w:val="22"/>
          <w:szCs w:val="22"/>
        </w:rPr>
        <w:t xml:space="preserve"> Московской области</w:t>
      </w:r>
    </w:p>
    <w:p w:rsidR="00CC7370" w:rsidRPr="00D84132" w:rsidRDefault="00CC7370" w:rsidP="00CC7370"/>
    <w:p w:rsidR="00CC7370" w:rsidRPr="00067020" w:rsidRDefault="00CC7370" w:rsidP="00CC7370">
      <w:pPr>
        <w:ind w:left="-180" w:hanging="180"/>
        <w:jc w:val="both"/>
      </w:pPr>
      <w:r w:rsidRPr="00D84132">
        <w:tab/>
      </w:r>
      <w:r w:rsidRPr="00067020">
        <w:t xml:space="preserve">           Рассмотрев проект порядк</w:t>
      </w:r>
      <w:r>
        <w:t>а</w:t>
      </w:r>
      <w:r w:rsidRPr="00067020">
        <w:t xml:space="preserve"> обеспечения деятельности Контрольно-счётно</w:t>
      </w:r>
      <w:r>
        <w:t>й</w:t>
      </w:r>
      <w:r w:rsidRPr="00067020">
        <w:t xml:space="preserve"> </w:t>
      </w:r>
      <w:r>
        <w:t>палаты</w:t>
      </w:r>
      <w:r w:rsidRPr="00067020">
        <w:t xml:space="preserve"> Талдомского </w:t>
      </w:r>
      <w:r>
        <w:t>городского округа</w:t>
      </w:r>
      <w:r w:rsidRPr="00067020">
        <w:t xml:space="preserve"> Московской области, на основании Федерального Закона от 07.02.2011 г. № 6-ФЗ «Об общих принципах организации и деятельности контрольно-счётных органов субъектов РФ и муниципальных образований», в соответствии с Федеральным Законом от 06.10.2003 г. № 131-ФЗ «Об общих принципах организации местного самоуправления в Российской Федерации», со  </w:t>
      </w:r>
      <w:hyperlink r:id="rId6" w:history="1">
        <w:r w:rsidRPr="00067020">
          <w:t xml:space="preserve">статьями </w:t>
        </w:r>
      </w:hyperlink>
      <w:r>
        <w:t>23</w:t>
      </w:r>
      <w:r w:rsidRPr="00067020">
        <w:t xml:space="preserve"> и </w:t>
      </w:r>
      <w:r>
        <w:t>4</w:t>
      </w:r>
      <w:r w:rsidRPr="00067020">
        <w:t xml:space="preserve">1 Устава Талдомского </w:t>
      </w:r>
      <w:r>
        <w:t>городского округа Московской области</w:t>
      </w:r>
      <w:r w:rsidRPr="00067020">
        <w:t xml:space="preserve"> и Положение о Контрольно-счетно</w:t>
      </w:r>
      <w:r>
        <w:t>й</w:t>
      </w:r>
      <w:r w:rsidRPr="00067020">
        <w:t xml:space="preserve"> </w:t>
      </w:r>
      <w:r>
        <w:t>палате</w:t>
      </w:r>
      <w:r w:rsidRPr="00067020">
        <w:t xml:space="preserve"> Талдомского </w:t>
      </w:r>
      <w:r>
        <w:t>городского округа Московской области</w:t>
      </w:r>
      <w:r w:rsidRPr="00067020">
        <w:t xml:space="preserve">, Совет депутатов Талдомского </w:t>
      </w:r>
      <w:r>
        <w:t>городского округа</w:t>
      </w:r>
    </w:p>
    <w:p w:rsidR="00CC7370" w:rsidRPr="00D84132" w:rsidRDefault="00CC7370" w:rsidP="00CC7370">
      <w:pPr>
        <w:ind w:left="-180" w:hanging="180"/>
        <w:jc w:val="both"/>
      </w:pPr>
    </w:p>
    <w:p w:rsidR="00CC7370" w:rsidRPr="003E48E7" w:rsidRDefault="00CC7370" w:rsidP="00CC7370">
      <w:pPr>
        <w:jc w:val="both"/>
        <w:rPr>
          <w:b/>
        </w:rPr>
      </w:pPr>
      <w:r w:rsidRPr="003E48E7">
        <w:rPr>
          <w:b/>
        </w:rPr>
        <w:t xml:space="preserve">                                                                     РЕШИЛ:</w:t>
      </w:r>
    </w:p>
    <w:p w:rsidR="003E48E7" w:rsidRPr="003E48E7" w:rsidRDefault="003E48E7" w:rsidP="00CC7370">
      <w:pPr>
        <w:jc w:val="both"/>
        <w:rPr>
          <w:b/>
        </w:rPr>
      </w:pPr>
    </w:p>
    <w:p w:rsidR="00102665" w:rsidRDefault="00CC7370" w:rsidP="00102665">
      <w:pPr>
        <w:ind w:left="-142" w:firstLine="284"/>
        <w:jc w:val="both"/>
      </w:pPr>
      <w:r w:rsidRPr="00D84132">
        <w:t xml:space="preserve">   </w:t>
      </w:r>
      <w:r w:rsidR="00102665">
        <w:t xml:space="preserve">      1.  Утвердить порядок обеспечения деятельности Контрольно-счетной палаты Талдомского городского округа Московской области» (Приложение 1).</w:t>
      </w:r>
    </w:p>
    <w:p w:rsidR="00102665" w:rsidRDefault="00102665" w:rsidP="00102665">
      <w:pPr>
        <w:ind w:left="-142" w:firstLine="284"/>
        <w:jc w:val="both"/>
      </w:pPr>
      <w:r>
        <w:t xml:space="preserve">      2. Считать утратившим силу решение Совета депутатов Талдомского муниципального района от 27.12.2017 № 69 «Об утверждении Положения «О порядке обеспечения деятельности Контрольно-счетного органа Талдомского муниципального района Московской области». </w:t>
      </w:r>
    </w:p>
    <w:p w:rsidR="00102665" w:rsidRDefault="00102665" w:rsidP="00102665">
      <w:pPr>
        <w:ind w:left="-142" w:firstLine="284"/>
        <w:jc w:val="both"/>
      </w:pPr>
      <w:r>
        <w:t xml:space="preserve">       3.    Настоящее решение вступает в силу с момента его подписания.</w:t>
      </w:r>
    </w:p>
    <w:p w:rsidR="00102665" w:rsidRDefault="00102665" w:rsidP="00102665">
      <w:pPr>
        <w:ind w:left="-142" w:firstLine="284"/>
        <w:jc w:val="both"/>
      </w:pPr>
      <w:r>
        <w:t xml:space="preserve">       4.    Опубликовать данное решение в газете «Заря».</w:t>
      </w:r>
    </w:p>
    <w:p w:rsidR="00102665" w:rsidRDefault="00102665" w:rsidP="00102665">
      <w:pPr>
        <w:ind w:left="-142" w:firstLine="284"/>
        <w:jc w:val="both"/>
      </w:pPr>
      <w:r>
        <w:t xml:space="preserve">       5.  Контроль за выполнением настоящего решения возложить на председателя Совета депутатов Талдомского городского округа М.И. Аникеева.</w:t>
      </w:r>
    </w:p>
    <w:p w:rsidR="00CC7370" w:rsidRPr="00D84132" w:rsidRDefault="00CC7370" w:rsidP="00CC7370">
      <w:pPr>
        <w:autoSpaceDE w:val="0"/>
        <w:autoSpaceDN w:val="0"/>
        <w:adjustRightInd w:val="0"/>
        <w:ind w:left="-180" w:firstLine="540"/>
        <w:jc w:val="both"/>
      </w:pPr>
    </w:p>
    <w:p w:rsidR="00CC7370" w:rsidRPr="00D84132" w:rsidRDefault="00CC7370" w:rsidP="00CC7370">
      <w:pPr>
        <w:autoSpaceDE w:val="0"/>
        <w:autoSpaceDN w:val="0"/>
        <w:adjustRightInd w:val="0"/>
        <w:ind w:left="-180" w:firstLine="540"/>
        <w:jc w:val="both"/>
      </w:pPr>
    </w:p>
    <w:p w:rsidR="00CC7370" w:rsidRPr="00D84132" w:rsidRDefault="00CC7370" w:rsidP="00CC7370">
      <w:pPr>
        <w:autoSpaceDE w:val="0"/>
        <w:autoSpaceDN w:val="0"/>
        <w:adjustRightInd w:val="0"/>
        <w:ind w:left="-180" w:firstLine="540"/>
        <w:jc w:val="both"/>
      </w:pPr>
    </w:p>
    <w:p w:rsidR="00CC7370" w:rsidRPr="00D84132" w:rsidRDefault="00CC7370" w:rsidP="00CC7370">
      <w:pPr>
        <w:ind w:left="-180"/>
        <w:jc w:val="both"/>
      </w:pPr>
      <w:r w:rsidRPr="00D84132">
        <w:t>Председатель Совета депутатов</w:t>
      </w:r>
    </w:p>
    <w:p w:rsidR="00CC7370" w:rsidRDefault="00CC7370" w:rsidP="00CC7370">
      <w:pPr>
        <w:ind w:left="-180"/>
        <w:jc w:val="both"/>
      </w:pPr>
      <w:r w:rsidRPr="00D84132">
        <w:t xml:space="preserve">Талдомского </w:t>
      </w:r>
      <w:r>
        <w:t>городского округа</w:t>
      </w:r>
      <w:r w:rsidR="007303CF">
        <w:t xml:space="preserve">                                                                                   </w:t>
      </w:r>
      <w:r>
        <w:t>М.И. Аникеев</w:t>
      </w:r>
    </w:p>
    <w:p w:rsidR="00CC7370" w:rsidRDefault="00CC7370" w:rsidP="00CC7370">
      <w:pPr>
        <w:ind w:left="-180"/>
        <w:jc w:val="both"/>
      </w:pPr>
    </w:p>
    <w:p w:rsidR="00CC7370" w:rsidRDefault="00CC7370" w:rsidP="00CC7370">
      <w:pPr>
        <w:ind w:left="-180"/>
        <w:jc w:val="both"/>
      </w:pPr>
    </w:p>
    <w:p w:rsidR="003E48E7" w:rsidRDefault="003E48E7"/>
    <w:p w:rsidR="009B195E" w:rsidRDefault="009B195E"/>
    <w:p w:rsidR="009B195E" w:rsidRDefault="009B195E" w:rsidP="009B195E">
      <w:pPr>
        <w:ind w:hanging="180"/>
      </w:pPr>
      <w:r w:rsidRPr="00D84132">
        <w:lastRenderedPageBreak/>
        <w:t xml:space="preserve">   </w:t>
      </w:r>
      <w:bookmarkStart w:id="0" w:name="_GoBack"/>
      <w:bookmarkEnd w:id="0"/>
    </w:p>
    <w:p w:rsidR="009B195E" w:rsidRPr="00067020" w:rsidRDefault="009B195E" w:rsidP="009B195E">
      <w:pPr>
        <w:ind w:hanging="180"/>
        <w:jc w:val="right"/>
        <w:rPr>
          <w:sz w:val="22"/>
          <w:szCs w:val="22"/>
        </w:rPr>
      </w:pPr>
      <w:r w:rsidRPr="00067020">
        <w:rPr>
          <w:sz w:val="22"/>
          <w:szCs w:val="22"/>
        </w:rPr>
        <w:t>Приложение № 1</w:t>
      </w:r>
    </w:p>
    <w:p w:rsidR="009B195E" w:rsidRPr="00067020" w:rsidRDefault="009B195E" w:rsidP="009B195E">
      <w:pPr>
        <w:pStyle w:val="a3"/>
        <w:jc w:val="right"/>
        <w:rPr>
          <w:sz w:val="22"/>
          <w:szCs w:val="22"/>
        </w:rPr>
      </w:pPr>
      <w:r w:rsidRPr="00067020">
        <w:rPr>
          <w:sz w:val="22"/>
          <w:szCs w:val="22"/>
        </w:rPr>
        <w:t>к решению Совета депутатов</w:t>
      </w:r>
    </w:p>
    <w:p w:rsidR="009B195E" w:rsidRPr="00067020" w:rsidRDefault="009B195E" w:rsidP="009B195E">
      <w:pPr>
        <w:pStyle w:val="a3"/>
        <w:jc w:val="right"/>
        <w:rPr>
          <w:sz w:val="22"/>
          <w:szCs w:val="22"/>
        </w:rPr>
      </w:pPr>
      <w:r w:rsidRPr="00067020">
        <w:rPr>
          <w:sz w:val="22"/>
          <w:szCs w:val="22"/>
        </w:rPr>
        <w:t xml:space="preserve">Талдомского </w:t>
      </w:r>
      <w:r>
        <w:rPr>
          <w:sz w:val="22"/>
          <w:szCs w:val="22"/>
        </w:rPr>
        <w:t>городского округа</w:t>
      </w:r>
    </w:p>
    <w:p w:rsidR="009B195E" w:rsidRPr="00067020" w:rsidRDefault="009B195E" w:rsidP="009B195E">
      <w:pPr>
        <w:pStyle w:val="a3"/>
        <w:jc w:val="right"/>
        <w:rPr>
          <w:sz w:val="22"/>
          <w:szCs w:val="22"/>
        </w:rPr>
      </w:pPr>
      <w:r w:rsidRPr="00067020">
        <w:rPr>
          <w:sz w:val="22"/>
          <w:szCs w:val="22"/>
        </w:rPr>
        <w:t>Московской области</w:t>
      </w:r>
    </w:p>
    <w:p w:rsidR="009B195E" w:rsidRDefault="009B195E" w:rsidP="009B195E">
      <w:pPr>
        <w:pStyle w:val="a3"/>
        <w:jc w:val="right"/>
        <w:rPr>
          <w:sz w:val="22"/>
          <w:szCs w:val="22"/>
        </w:rPr>
      </w:pPr>
      <w:bookmarkStart w:id="1" w:name="Par32"/>
      <w:bookmarkEnd w:id="1"/>
      <w:r w:rsidRPr="00067020">
        <w:rPr>
          <w:sz w:val="22"/>
          <w:szCs w:val="22"/>
        </w:rPr>
        <w:t>от «</w:t>
      </w:r>
      <w:r>
        <w:rPr>
          <w:sz w:val="22"/>
          <w:szCs w:val="22"/>
        </w:rPr>
        <w:t>31</w:t>
      </w:r>
      <w:r w:rsidRPr="00067020">
        <w:rPr>
          <w:sz w:val="22"/>
          <w:szCs w:val="22"/>
        </w:rPr>
        <w:t xml:space="preserve">» </w:t>
      </w:r>
      <w:r>
        <w:rPr>
          <w:sz w:val="22"/>
          <w:szCs w:val="22"/>
        </w:rPr>
        <w:t>января</w:t>
      </w:r>
      <w:r w:rsidRPr="00067020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00067020">
        <w:rPr>
          <w:sz w:val="22"/>
          <w:szCs w:val="22"/>
        </w:rPr>
        <w:t xml:space="preserve"> г. № </w:t>
      </w:r>
      <w:r>
        <w:rPr>
          <w:sz w:val="22"/>
          <w:szCs w:val="22"/>
        </w:rPr>
        <w:t>141</w:t>
      </w:r>
    </w:p>
    <w:p w:rsidR="009B195E" w:rsidRPr="00067020" w:rsidRDefault="009B195E" w:rsidP="009B195E">
      <w:pPr>
        <w:pStyle w:val="a3"/>
        <w:jc w:val="right"/>
        <w:rPr>
          <w:b/>
          <w:bCs/>
          <w:sz w:val="22"/>
          <w:szCs w:val="22"/>
        </w:rPr>
      </w:pPr>
    </w:p>
    <w:p w:rsidR="009B195E" w:rsidRPr="00067020" w:rsidRDefault="009B195E" w:rsidP="009B195E">
      <w:pPr>
        <w:pStyle w:val="a3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ПОРЯДОК </w:t>
      </w:r>
      <w:r w:rsidRPr="00067020">
        <w:rPr>
          <w:b/>
          <w:bCs/>
          <w:szCs w:val="24"/>
        </w:rPr>
        <w:t>ОБЕСПЕЧЕНИЯ ДЕЯТЕЛЬНОСТИ КОНТРОЛЬНО-СЧЕТНО</w:t>
      </w:r>
      <w:r>
        <w:rPr>
          <w:b/>
          <w:bCs/>
          <w:szCs w:val="24"/>
        </w:rPr>
        <w:t>Й</w:t>
      </w:r>
      <w:r w:rsidRPr="00067020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ПАЛАТЫ</w:t>
      </w:r>
      <w:r w:rsidRPr="00067020">
        <w:rPr>
          <w:b/>
          <w:bCs/>
          <w:szCs w:val="24"/>
        </w:rPr>
        <w:t xml:space="preserve"> ТАЛДОМСКОГО </w:t>
      </w:r>
      <w:r>
        <w:rPr>
          <w:b/>
          <w:bCs/>
          <w:szCs w:val="24"/>
        </w:rPr>
        <w:t xml:space="preserve">ГОРОДСКОГО ОКРУГА </w:t>
      </w:r>
      <w:r w:rsidRPr="00067020">
        <w:rPr>
          <w:b/>
          <w:bCs/>
          <w:szCs w:val="24"/>
        </w:rPr>
        <w:t>МОСКОВСКОЙ ОБЛАСТИ</w:t>
      </w:r>
    </w:p>
    <w:p w:rsidR="009B195E" w:rsidRPr="00067020" w:rsidRDefault="009B195E" w:rsidP="009B195E">
      <w:pPr>
        <w:pStyle w:val="a3"/>
        <w:jc w:val="center"/>
        <w:rPr>
          <w:szCs w:val="24"/>
        </w:rPr>
      </w:pPr>
    </w:p>
    <w:p w:rsidR="009B195E" w:rsidRPr="00067020" w:rsidRDefault="009B195E" w:rsidP="009B195E">
      <w:pPr>
        <w:pStyle w:val="a3"/>
        <w:jc w:val="center"/>
        <w:rPr>
          <w:szCs w:val="24"/>
        </w:rPr>
      </w:pPr>
      <w:r w:rsidRPr="00067020">
        <w:rPr>
          <w:szCs w:val="24"/>
        </w:rPr>
        <w:t>I. Общие положения</w:t>
      </w:r>
    </w:p>
    <w:p w:rsidR="009B195E" w:rsidRPr="00067020" w:rsidRDefault="009B195E" w:rsidP="009B195E">
      <w:pPr>
        <w:pStyle w:val="a3"/>
        <w:rPr>
          <w:szCs w:val="24"/>
        </w:rPr>
      </w:pP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1.1. Настоящ</w:t>
      </w:r>
      <w:r>
        <w:rPr>
          <w:szCs w:val="24"/>
        </w:rPr>
        <w:t>ий</w:t>
      </w:r>
      <w:r w:rsidRPr="00067020">
        <w:rPr>
          <w:szCs w:val="24"/>
        </w:rPr>
        <w:t xml:space="preserve"> </w:t>
      </w:r>
      <w:r>
        <w:rPr>
          <w:szCs w:val="24"/>
        </w:rPr>
        <w:t xml:space="preserve">порядок </w:t>
      </w:r>
      <w:r w:rsidRPr="00067020">
        <w:rPr>
          <w:szCs w:val="24"/>
        </w:rPr>
        <w:t xml:space="preserve">разработан в соответствии с Федеральным </w:t>
      </w:r>
      <w:hyperlink r:id="rId7" w:history="1">
        <w:r w:rsidRPr="00067020">
          <w:rPr>
            <w:rStyle w:val="a5"/>
            <w:szCs w:val="24"/>
          </w:rPr>
          <w:t>законом</w:t>
        </w:r>
      </w:hyperlink>
      <w:r w:rsidRPr="00067020">
        <w:rPr>
          <w:szCs w:val="24"/>
        </w:rPr>
        <w:t xml:space="preserve"> от 06.10.2003 г. №131-ФЗ «Об общих принципах организации местного самоуправления в Российской Федерации», Федеральным </w:t>
      </w:r>
      <w:hyperlink r:id="rId8" w:history="1">
        <w:r w:rsidRPr="00067020">
          <w:rPr>
            <w:rStyle w:val="a5"/>
            <w:szCs w:val="24"/>
          </w:rPr>
          <w:t>законом</w:t>
        </w:r>
      </w:hyperlink>
      <w:r w:rsidRPr="00067020">
        <w:rPr>
          <w:szCs w:val="24"/>
        </w:rPr>
        <w:t xml:space="preserve"> от 07.02.2011 г. №</w:t>
      </w:r>
      <w:r>
        <w:rPr>
          <w:szCs w:val="24"/>
        </w:rPr>
        <w:t xml:space="preserve"> </w:t>
      </w:r>
      <w:r w:rsidRPr="00067020">
        <w:rPr>
          <w:szCs w:val="24"/>
        </w:rPr>
        <w:t xml:space="preserve">6-ФЗ «Об общих принципах организации и деятельности контрольно-счетных органов субъектов Российской Федерации и муниципальных образований», с Уставом Талдомского </w:t>
      </w:r>
      <w:r>
        <w:rPr>
          <w:szCs w:val="24"/>
        </w:rPr>
        <w:t>городского округа</w:t>
      </w:r>
      <w:r w:rsidRPr="00067020">
        <w:rPr>
          <w:szCs w:val="24"/>
        </w:rPr>
        <w:t>, Положением о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палате</w:t>
      </w:r>
      <w:r w:rsidRPr="00067020">
        <w:rPr>
          <w:szCs w:val="24"/>
        </w:rPr>
        <w:t xml:space="preserve"> Талдомского </w:t>
      </w:r>
      <w:r>
        <w:rPr>
          <w:szCs w:val="24"/>
        </w:rPr>
        <w:t>городского округа</w:t>
      </w:r>
      <w:r w:rsidRPr="00067020">
        <w:rPr>
          <w:szCs w:val="24"/>
        </w:rPr>
        <w:t xml:space="preserve"> Московской области и регулирует вопросы организационного, правового, кадрового, архивного, бухгалтерского, информационно-аналитического и материально-технического обеспечения деятельности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 xml:space="preserve"> Талдомского </w:t>
      </w:r>
      <w:r>
        <w:rPr>
          <w:szCs w:val="24"/>
        </w:rPr>
        <w:t>городского округа</w:t>
      </w:r>
      <w:r w:rsidRPr="00067020">
        <w:rPr>
          <w:szCs w:val="24"/>
        </w:rPr>
        <w:t xml:space="preserve"> Московской области.</w:t>
      </w:r>
    </w:p>
    <w:p w:rsidR="009B195E" w:rsidRPr="00067020" w:rsidRDefault="009B195E" w:rsidP="009B195E">
      <w:pPr>
        <w:pStyle w:val="a3"/>
        <w:rPr>
          <w:szCs w:val="24"/>
        </w:rPr>
      </w:pPr>
    </w:p>
    <w:p w:rsidR="009B195E" w:rsidRPr="00067020" w:rsidRDefault="009B195E" w:rsidP="009B195E">
      <w:pPr>
        <w:pStyle w:val="a3"/>
        <w:jc w:val="center"/>
        <w:rPr>
          <w:szCs w:val="24"/>
        </w:rPr>
      </w:pPr>
      <w:r w:rsidRPr="00067020">
        <w:rPr>
          <w:szCs w:val="24"/>
        </w:rPr>
        <w:t>II. Порядок обеспечения деятельности</w:t>
      </w:r>
    </w:p>
    <w:p w:rsidR="009B195E" w:rsidRPr="00067020" w:rsidRDefault="009B195E" w:rsidP="009B195E">
      <w:pPr>
        <w:pStyle w:val="a3"/>
        <w:jc w:val="center"/>
        <w:rPr>
          <w:szCs w:val="24"/>
        </w:rPr>
      </w:pPr>
      <w:r w:rsidRPr="00067020">
        <w:rPr>
          <w:szCs w:val="24"/>
        </w:rPr>
        <w:t>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</w:p>
    <w:p w:rsidR="009B195E" w:rsidRPr="00067020" w:rsidRDefault="009B195E" w:rsidP="009B195E">
      <w:pPr>
        <w:pStyle w:val="a3"/>
        <w:rPr>
          <w:szCs w:val="24"/>
        </w:rPr>
      </w:pP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 xml:space="preserve">2.1. Администрация Талдомского </w:t>
      </w:r>
      <w:r>
        <w:rPr>
          <w:szCs w:val="24"/>
        </w:rPr>
        <w:t>городского округа</w:t>
      </w:r>
      <w:r w:rsidRPr="00067020">
        <w:rPr>
          <w:szCs w:val="24"/>
        </w:rPr>
        <w:t xml:space="preserve"> (далее - Администрация) осуществляет организационно-методическое, кадровое, архивное, информационно-аналитическое и материально-техническое обеспечение деятельности Контрольно-счетно</w:t>
      </w:r>
      <w:r>
        <w:rPr>
          <w:szCs w:val="24"/>
        </w:rPr>
        <w:t>й палаты</w:t>
      </w:r>
      <w:r w:rsidRPr="00067020">
        <w:rPr>
          <w:szCs w:val="24"/>
        </w:rPr>
        <w:t xml:space="preserve"> Талдомского </w:t>
      </w:r>
      <w:r>
        <w:rPr>
          <w:szCs w:val="24"/>
        </w:rPr>
        <w:t>городского округа</w:t>
      </w:r>
      <w:r w:rsidRPr="00067020">
        <w:rPr>
          <w:szCs w:val="24"/>
        </w:rPr>
        <w:t xml:space="preserve"> по поручению главы Талдомского </w:t>
      </w:r>
      <w:r>
        <w:rPr>
          <w:szCs w:val="24"/>
        </w:rPr>
        <w:t>городского округа</w:t>
      </w:r>
      <w:r w:rsidRPr="00067020">
        <w:rPr>
          <w:szCs w:val="24"/>
        </w:rPr>
        <w:t>: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1)  кадровое обеспечение деятельности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 xml:space="preserve"> включает в себя: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кадровое документационное обеспечение осуществления полномочий лиц, замещающих муниципальные должности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>, и прохождения муниципальной службы муниципальных служащих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 xml:space="preserve"> (ведение и хранение трудовых книжек, ведение личных дел, табельный учет и другое);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2) архивное обеспечение деятельности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 xml:space="preserve"> включает в себя: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обеспечение хранения, комплектования, учета и использования архивных документов, образовавшихся и образующихся в деятельности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>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3) информационно-аналитическое и организационно-методическое обеспечение деятельности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 xml:space="preserve"> включает в себя: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обеспечение телефонной связью;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обеспечение доступа к информационно-телекоммуникационной сети Интернет;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обеспечение доступа к справочно-правовым системам;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 xml:space="preserve">обеспечение размещения на официальном сайте Администрации Талдомского </w:t>
      </w:r>
      <w:r>
        <w:rPr>
          <w:szCs w:val="24"/>
        </w:rPr>
        <w:t>городского округа</w:t>
      </w:r>
      <w:r w:rsidRPr="00067020">
        <w:rPr>
          <w:szCs w:val="24"/>
        </w:rPr>
        <w:t xml:space="preserve"> информации о деятельности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>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освещение деятельности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 xml:space="preserve"> в средствах массовой информации;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обеспечение выполнения требований по защите информации;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организационно-методическое обеспечение, в том числе оказание содействия при подготовке и проведении мероприятий, конференций, собраний; консультирование по вопросам награждения государственными наградами Российской Федерации, наградами Московской области;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4) материально-техническое обеспечение деятельности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 xml:space="preserve"> включает в себя: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lastRenderedPageBreak/>
        <w:t>предоставление в безвозмездное пользование помещений, занимаемых Контрольно-счетн</w:t>
      </w:r>
      <w:r>
        <w:rPr>
          <w:szCs w:val="24"/>
        </w:rPr>
        <w:t>ой</w:t>
      </w:r>
      <w:r w:rsidRPr="00067020">
        <w:rPr>
          <w:szCs w:val="24"/>
        </w:rPr>
        <w:t xml:space="preserve"> </w:t>
      </w:r>
      <w:r>
        <w:rPr>
          <w:szCs w:val="24"/>
        </w:rPr>
        <w:t>палатой</w:t>
      </w:r>
      <w:r w:rsidRPr="00067020">
        <w:rPr>
          <w:szCs w:val="24"/>
        </w:rPr>
        <w:t>, и их содержание;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предоставление и оплата коммунальных услуг;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приобретение необходимого оборудования и передача его в безвозмездное пользование;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обеспечение сервисного обслуживания оборудования;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приобретение канцелярских принадлежностей и других расходных материалов;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обеспечение режима секретности при ведении делопроизводства;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обеспечение выполнения машинописных и копировально-множительных работ;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обеспечение бланочной и сувенирной продукцией;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2.2 Бухгалтерское обеспечение деятельности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палатой</w:t>
      </w:r>
      <w:r w:rsidRPr="00067020">
        <w:rPr>
          <w:szCs w:val="24"/>
        </w:rPr>
        <w:t xml:space="preserve"> осуществляет МКУ «Централизованная бухгалтерия Талдомского района» на основании заключенного соглашения и включает в себя: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>1) ведение бухгалтерского учета и отчетности в соответствии с бюджетными сметами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 xml:space="preserve"> в пределах бюджетных ассигнований на финансовое обеспечение его деятельности, предусмотренных в местном бюджете;</w:t>
      </w:r>
    </w:p>
    <w:p w:rsidR="009B195E" w:rsidRPr="00067020" w:rsidRDefault="009B195E" w:rsidP="009B195E">
      <w:pPr>
        <w:pStyle w:val="a3"/>
        <w:rPr>
          <w:szCs w:val="24"/>
        </w:rPr>
      </w:pPr>
      <w:r w:rsidRPr="00067020">
        <w:rPr>
          <w:szCs w:val="24"/>
        </w:rPr>
        <w:t xml:space="preserve">2) подготовка отчетности в ИФНС, ПФР РФ, ФСС и органы статистики. </w:t>
      </w:r>
    </w:p>
    <w:p w:rsidR="009B195E" w:rsidRPr="00067020" w:rsidRDefault="009B195E" w:rsidP="009B195E">
      <w:pPr>
        <w:pStyle w:val="a3"/>
        <w:rPr>
          <w:b/>
          <w:szCs w:val="24"/>
        </w:rPr>
      </w:pPr>
      <w:r w:rsidRPr="00067020">
        <w:rPr>
          <w:szCs w:val="24"/>
        </w:rPr>
        <w:t>2.3. для выполнения организационно-методического, кадрового, архивного, бухгалтерского, информационно-аналитического и материально-технического обеспечения специалисты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 xml:space="preserve"> предоставляют </w:t>
      </w:r>
      <w:r>
        <w:rPr>
          <w:szCs w:val="24"/>
        </w:rPr>
        <w:t>а</w:t>
      </w:r>
      <w:r w:rsidRPr="00067020">
        <w:rPr>
          <w:szCs w:val="24"/>
        </w:rPr>
        <w:t xml:space="preserve">дминистрации Талдомского </w:t>
      </w:r>
      <w:r>
        <w:rPr>
          <w:szCs w:val="24"/>
        </w:rPr>
        <w:t>городского округа</w:t>
      </w:r>
      <w:r w:rsidRPr="00067020">
        <w:rPr>
          <w:szCs w:val="24"/>
        </w:rPr>
        <w:t xml:space="preserve"> необходимую отчетность и документацию по вопросам обеспечения деятельности Контрольно-счетно</w:t>
      </w:r>
      <w:r>
        <w:rPr>
          <w:szCs w:val="24"/>
        </w:rPr>
        <w:t>й</w:t>
      </w:r>
      <w:r w:rsidRPr="00067020">
        <w:rPr>
          <w:szCs w:val="24"/>
        </w:rPr>
        <w:t xml:space="preserve"> </w:t>
      </w:r>
      <w:r>
        <w:rPr>
          <w:szCs w:val="24"/>
        </w:rPr>
        <w:t>палаты</w:t>
      </w:r>
      <w:r w:rsidRPr="00067020">
        <w:rPr>
          <w:szCs w:val="24"/>
        </w:rPr>
        <w:t xml:space="preserve"> в установленные действующим законодательством сроки.</w:t>
      </w:r>
      <w:r w:rsidRPr="00067020">
        <w:rPr>
          <w:b/>
          <w:szCs w:val="24"/>
        </w:rPr>
        <w:t xml:space="preserve">     </w:t>
      </w:r>
    </w:p>
    <w:p w:rsidR="009B195E" w:rsidRPr="00067020" w:rsidRDefault="009B195E" w:rsidP="009B195E">
      <w:pPr>
        <w:pStyle w:val="a3"/>
        <w:rPr>
          <w:sz w:val="28"/>
          <w:szCs w:val="28"/>
        </w:rPr>
      </w:pPr>
      <w:r w:rsidRPr="00067020">
        <w:rPr>
          <w:b/>
          <w:sz w:val="28"/>
          <w:szCs w:val="28"/>
        </w:rPr>
        <w:t xml:space="preserve">       </w:t>
      </w:r>
    </w:p>
    <w:p w:rsidR="009B195E" w:rsidRDefault="009B195E"/>
    <w:sectPr w:rsidR="009B195E" w:rsidSect="00586E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96ADE"/>
    <w:multiLevelType w:val="hybridMultilevel"/>
    <w:tmpl w:val="0B54F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370"/>
    <w:rsid w:val="00102665"/>
    <w:rsid w:val="003E48E7"/>
    <w:rsid w:val="00586E30"/>
    <w:rsid w:val="007303CF"/>
    <w:rsid w:val="00901552"/>
    <w:rsid w:val="009B195E"/>
    <w:rsid w:val="00CC7370"/>
    <w:rsid w:val="00E7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06D16E-E4D4-4110-9BA2-ACA08C5A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3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195E"/>
    <w:pPr>
      <w:jc w:val="both"/>
    </w:pPr>
  </w:style>
  <w:style w:type="character" w:customStyle="1" w:styleId="a4">
    <w:name w:val="Основной текст Знак"/>
    <w:basedOn w:val="a0"/>
    <w:link w:val="a3"/>
    <w:rsid w:val="009B195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9B195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5FF10B7A32A245F52A8DE2BA7A4B5FCE31BFBF8F7859745859E13466z2Y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5FF10B7A32A245F52A8DE2BA7A4B5FCE34B9BE897659745859E13466z2Y2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C5B7D27B71CA1CBAB29BEFB4EE94F6F1A2C49F06C48B6973E22F6489348BC70858FDF0027A6C03mDLD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6</cp:revision>
  <dcterms:created xsi:type="dcterms:W3CDTF">2019-01-21T13:20:00Z</dcterms:created>
  <dcterms:modified xsi:type="dcterms:W3CDTF">2019-02-12T13:42:00Z</dcterms:modified>
</cp:coreProperties>
</file>